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ABC9" w14:textId="74540F97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5" w:hanging="567"/>
      </w:pPr>
      <w:r>
        <w:t>The Queensland Governme</w:t>
      </w:r>
      <w:r w:rsidR="00A07D2B">
        <w:t>n</w:t>
      </w:r>
      <w:r>
        <w:t xml:space="preserve">t </w:t>
      </w:r>
      <w:r w:rsidR="00BF7BDB">
        <w:t>committed</w:t>
      </w:r>
      <w:r>
        <w:t xml:space="preserve"> to ‘establish an independent tripartite panel, including a union representative, to advise on penalties and sanctions for breaches of the Ethical Supplier Mandate’.</w:t>
      </w:r>
    </w:p>
    <w:p w14:paraId="61D4ABCB" w14:textId="77777777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4" w:hanging="567"/>
      </w:pP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Tripartite</w:t>
      </w:r>
      <w:r>
        <w:rPr>
          <w:spacing w:val="-9"/>
        </w:rPr>
        <w:t xml:space="preserve"> </w:t>
      </w:r>
      <w:r>
        <w:rPr>
          <w:spacing w:val="-2"/>
        </w:rPr>
        <w:t>Procurement</w:t>
      </w:r>
      <w:r>
        <w:rPr>
          <w:spacing w:val="-8"/>
        </w:rPr>
        <w:t xml:space="preserve"> </w:t>
      </w:r>
      <w:r>
        <w:rPr>
          <w:spacing w:val="-2"/>
        </w:rPr>
        <w:t>Advisory</w:t>
      </w:r>
      <w:r>
        <w:rPr>
          <w:spacing w:val="-9"/>
        </w:rPr>
        <w:t xml:space="preserve"> </w:t>
      </w:r>
      <w:r>
        <w:rPr>
          <w:spacing w:val="-2"/>
        </w:rPr>
        <w:t>Panel</w:t>
      </w:r>
      <w:r>
        <w:rPr>
          <w:spacing w:val="-10"/>
        </w:rPr>
        <w:t xml:space="preserve"> </w:t>
      </w:r>
      <w:r>
        <w:rPr>
          <w:spacing w:val="-2"/>
        </w:rPr>
        <w:t>(the</w:t>
      </w:r>
      <w:r>
        <w:rPr>
          <w:spacing w:val="-9"/>
        </w:rPr>
        <w:t xml:space="preserve"> </w:t>
      </w:r>
      <w:r>
        <w:rPr>
          <w:spacing w:val="-2"/>
        </w:rPr>
        <w:t>Panel)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advisory</w:t>
      </w:r>
      <w:r>
        <w:rPr>
          <w:spacing w:val="-9"/>
        </w:rPr>
        <w:t xml:space="preserve"> </w:t>
      </w:r>
      <w:r>
        <w:rPr>
          <w:spacing w:val="-2"/>
        </w:rPr>
        <w:t>board</w:t>
      </w:r>
      <w:r>
        <w:rPr>
          <w:spacing w:val="-10"/>
        </w:rPr>
        <w:t xml:space="preserve"> </w:t>
      </w:r>
      <w:r>
        <w:rPr>
          <w:spacing w:val="-2"/>
        </w:rPr>
        <w:t>appointed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Minister for</w:t>
      </w:r>
      <w:r>
        <w:rPr>
          <w:spacing w:val="-7"/>
        </w:rPr>
        <w:t xml:space="preserve"> </w:t>
      </w:r>
      <w:r>
        <w:rPr>
          <w:spacing w:val="-2"/>
        </w:rPr>
        <w:t>Energy,</w:t>
      </w:r>
      <w:r>
        <w:rPr>
          <w:spacing w:val="-7"/>
        </w:rPr>
        <w:t xml:space="preserve"> </w:t>
      </w:r>
      <w:r>
        <w:rPr>
          <w:spacing w:val="-2"/>
        </w:rPr>
        <w:t>Renewables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Hydrogen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Minister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Works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Procurement</w:t>
      </w:r>
      <w:r>
        <w:rPr>
          <w:spacing w:val="-7"/>
        </w:rPr>
        <w:t xml:space="preserve"> </w:t>
      </w:r>
      <w:r>
        <w:rPr>
          <w:spacing w:val="-2"/>
        </w:rPr>
        <w:t>(the</w:t>
      </w:r>
      <w:r>
        <w:rPr>
          <w:spacing w:val="-7"/>
        </w:rPr>
        <w:t xml:space="preserve"> </w:t>
      </w:r>
      <w:r>
        <w:rPr>
          <w:spacing w:val="-2"/>
        </w:rPr>
        <w:t xml:space="preserve">Minister) </w:t>
      </w:r>
      <w:r>
        <w:t>to provide impartial advice that supports decision makers to apply the penalties under the Ethical Supplier Mandate (the Mandate).</w:t>
      </w:r>
    </w:p>
    <w:p w14:paraId="61D4ABCD" w14:textId="40EBDA77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1" w:hanging="567"/>
      </w:pPr>
      <w:r>
        <w:t xml:space="preserve">The Panel </w:t>
      </w:r>
      <w:r w:rsidR="007E097E">
        <w:t xml:space="preserve">would </w:t>
      </w:r>
      <w:r>
        <w:t xml:space="preserve">be comprised of 12 members which include an independent chair, deputy chair </w:t>
      </w:r>
      <w:r w:rsidRPr="009373CC">
        <w:t xml:space="preserve">and </w:t>
      </w:r>
      <w:r w:rsidR="008747A4" w:rsidRPr="009373CC">
        <w:t xml:space="preserve">10 </w:t>
      </w:r>
      <w:r w:rsidRPr="009373CC">
        <w:t>Panel members</w:t>
      </w:r>
      <w:r w:rsidR="008747A4" w:rsidRPr="009373CC">
        <w:t xml:space="preserve"> equally representing employers and unions</w:t>
      </w:r>
      <w:r w:rsidRPr="009373CC">
        <w:t>. The</w:t>
      </w:r>
      <w:r>
        <w:t xml:space="preserve"> Panel’s Terms of Reference outline the authority, role, responsibilities, membership,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penalties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Mandate.</w:t>
      </w:r>
    </w:p>
    <w:p w14:paraId="61D4ABCF" w14:textId="5DB567FC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2" w:hanging="567"/>
      </w:pPr>
      <w:r>
        <w:t>The Panel will follow the recommended tripartite model where a Panel session must consist of representation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individuals;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independent</w:t>
      </w:r>
      <w:r>
        <w:rPr>
          <w:spacing w:val="-15"/>
        </w:rPr>
        <w:t xml:space="preserve"> </w:t>
      </w:r>
      <w:r>
        <w:t>appointed</w:t>
      </w:r>
      <w:r>
        <w:rPr>
          <w:spacing w:val="-15"/>
        </w:rPr>
        <w:t xml:space="preserve"> </w:t>
      </w:r>
      <w:r>
        <w:t>chair,</w:t>
      </w:r>
      <w:r>
        <w:rPr>
          <w:spacing w:val="-16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union</w:t>
      </w:r>
      <w:r>
        <w:rPr>
          <w:spacing w:val="-15"/>
        </w:rPr>
        <w:t xml:space="preserve"> </w:t>
      </w:r>
      <w:r>
        <w:t>nominee,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one employer nominee.</w:t>
      </w:r>
    </w:p>
    <w:p w14:paraId="61D4ABD1" w14:textId="51677432" w:rsidR="00F43E8F" w:rsidRPr="00E765C1" w:rsidRDefault="00AB3D94" w:rsidP="00A07D2B">
      <w:pPr>
        <w:pStyle w:val="ListParagraph"/>
        <w:numPr>
          <w:ilvl w:val="0"/>
          <w:numId w:val="1"/>
        </w:numPr>
        <w:spacing w:before="240"/>
        <w:ind w:left="567" w:hanging="567"/>
      </w:pPr>
      <w:r>
        <w:rPr>
          <w:spacing w:val="-2"/>
          <w:u w:val="single"/>
        </w:rPr>
        <w:t>Cabinet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endorsed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establishment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 w:rsidR="00B1458B">
        <w:rPr>
          <w:spacing w:val="-2"/>
        </w:rPr>
        <w:t>Tripartite</w:t>
      </w:r>
      <w:r w:rsidR="00B1458B">
        <w:rPr>
          <w:spacing w:val="-9"/>
        </w:rPr>
        <w:t xml:space="preserve"> </w:t>
      </w:r>
      <w:r w:rsidR="00B1458B">
        <w:rPr>
          <w:spacing w:val="-2"/>
        </w:rPr>
        <w:t>Procurement</w:t>
      </w:r>
      <w:r w:rsidR="00B1458B">
        <w:rPr>
          <w:spacing w:val="-8"/>
        </w:rPr>
        <w:t xml:space="preserve"> </w:t>
      </w:r>
      <w:r w:rsidR="00B1458B">
        <w:rPr>
          <w:spacing w:val="-2"/>
        </w:rPr>
        <w:t>Advisory</w:t>
      </w:r>
      <w:r w:rsidR="00B1458B">
        <w:rPr>
          <w:spacing w:val="-9"/>
        </w:rPr>
        <w:t xml:space="preserve"> </w:t>
      </w:r>
      <w:r>
        <w:rPr>
          <w:spacing w:val="-2"/>
        </w:rPr>
        <w:t>Panel</w:t>
      </w:r>
      <w:r w:rsidR="000B2CB4">
        <w:rPr>
          <w:spacing w:val="-2"/>
        </w:rPr>
        <w:t xml:space="preserve"> (Panel)</w:t>
      </w:r>
      <w:r>
        <w:rPr>
          <w:spacing w:val="-2"/>
        </w:rPr>
        <w:t>.</w:t>
      </w:r>
    </w:p>
    <w:p w14:paraId="2BA78688" w14:textId="08E17D35" w:rsidR="00BB617D" w:rsidRDefault="00BB617D" w:rsidP="00A07D2B">
      <w:pPr>
        <w:pStyle w:val="ListParagraph"/>
        <w:numPr>
          <w:ilvl w:val="0"/>
          <w:numId w:val="1"/>
        </w:numPr>
        <w:spacing w:before="240"/>
        <w:ind w:left="567" w:hanging="567"/>
      </w:pPr>
      <w:r w:rsidRPr="00E765C1">
        <w:rPr>
          <w:u w:val="single"/>
        </w:rPr>
        <w:t>Cabinet noted</w:t>
      </w:r>
      <w:r w:rsidR="00E765C1">
        <w:t xml:space="preserve"> </w:t>
      </w:r>
      <w:r w:rsidR="00E765C1" w:rsidRPr="00E765C1">
        <w:t>the Terms of Reference for the Panel</w:t>
      </w:r>
      <w:r w:rsidR="00E765C1">
        <w:t>.</w:t>
      </w:r>
    </w:p>
    <w:p w14:paraId="61D4ABD3" w14:textId="539DC1F2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1" w:hanging="567"/>
      </w:pPr>
      <w:r>
        <w:rPr>
          <w:u w:val="single"/>
        </w:rPr>
        <w:t>Cabinet noted</w:t>
      </w:r>
      <w:r>
        <w:t xml:space="preserve"> the intention of the Minister </w:t>
      </w:r>
      <w:r w:rsidR="000B295D">
        <w:t xml:space="preserve">for </w:t>
      </w:r>
      <w:r w:rsidR="000B2CB4" w:rsidRPr="000B2CB4">
        <w:t xml:space="preserve">Energy, Renewables and Hydrogen and Minister for Public Works and Procurement </w:t>
      </w:r>
      <w:r>
        <w:t>to appoint Mr John Thompson</w:t>
      </w:r>
      <w:r>
        <w:rPr>
          <w:spacing w:val="-1"/>
        </w:rPr>
        <w:t xml:space="preserve"> </w:t>
      </w:r>
      <w:r>
        <w:t>as chair and Ms</w:t>
      </w:r>
      <w:r w:rsidR="00A07D2B">
        <w:t> </w:t>
      </w:r>
      <w:r>
        <w:t>Jennifer McVeigh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deputy</w:t>
      </w:r>
      <w:r>
        <w:rPr>
          <w:spacing w:val="-8"/>
        </w:rPr>
        <w:t xml:space="preserve"> </w:t>
      </w:r>
      <w:r>
        <w:t>chair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Panel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three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Ministerial</w:t>
      </w:r>
      <w:r>
        <w:rPr>
          <w:spacing w:val="-2"/>
        </w:rPr>
        <w:t xml:space="preserve"> </w:t>
      </w:r>
      <w:r>
        <w:t>approval.</w:t>
      </w:r>
    </w:p>
    <w:p w14:paraId="61D4ABD5" w14:textId="77777777" w:rsidR="00F43E8F" w:rsidRDefault="00AB3D94" w:rsidP="00A07D2B">
      <w:pPr>
        <w:pStyle w:val="ListParagraph"/>
        <w:numPr>
          <w:ilvl w:val="0"/>
          <w:numId w:val="1"/>
        </w:numPr>
        <w:spacing w:before="240"/>
        <w:ind w:left="567" w:right="224" w:hanging="567"/>
      </w:pPr>
      <w:r>
        <w:rPr>
          <w:u w:val="single"/>
        </w:rPr>
        <w:t>Cabinet</w:t>
      </w:r>
      <w:r>
        <w:rPr>
          <w:spacing w:val="-15"/>
          <w:u w:val="single"/>
        </w:rPr>
        <w:t xml:space="preserve"> </w:t>
      </w:r>
      <w:r>
        <w:rPr>
          <w:u w:val="single"/>
        </w:rPr>
        <w:t>noted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intention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Minister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appoint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persons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Panel for a term of three years from the date of Ministerial approval:</w:t>
      </w:r>
    </w:p>
    <w:p w14:paraId="61D4ABD6" w14:textId="77777777" w:rsidR="00F43E8F" w:rsidRDefault="00F43E8F">
      <w:pPr>
        <w:pStyle w:val="BodyText"/>
        <w:rPr>
          <w:sz w:val="20"/>
        </w:rPr>
      </w:pP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3"/>
      </w:tblGrid>
      <w:tr w:rsidR="00F43E8F" w14:paraId="61D4ABDA" w14:textId="77777777" w:rsidTr="00253B48">
        <w:trPr>
          <w:trHeight w:val="505"/>
        </w:trPr>
        <w:tc>
          <w:tcPr>
            <w:tcW w:w="4253" w:type="dxa"/>
            <w:shd w:val="clear" w:color="auto" w:fill="818181"/>
          </w:tcPr>
          <w:p w14:paraId="61D4ABD8" w14:textId="77777777" w:rsidR="00F43E8F" w:rsidRPr="00A07D2B" w:rsidRDefault="00AB3D94">
            <w:pPr>
              <w:pStyle w:val="TableParagraph"/>
              <w:spacing w:before="2"/>
              <w:rPr>
                <w:b/>
                <w:color w:val="FFFFFF" w:themeColor="background1"/>
              </w:rPr>
            </w:pPr>
            <w:r w:rsidRPr="00A07D2B">
              <w:rPr>
                <w:b/>
                <w:color w:val="FFFFFF" w:themeColor="background1"/>
              </w:rPr>
              <w:t>Union</w:t>
            </w:r>
            <w:r w:rsidRPr="00A07D2B">
              <w:rPr>
                <w:b/>
                <w:color w:val="FFFFFF" w:themeColor="background1"/>
                <w:spacing w:val="-5"/>
              </w:rPr>
              <w:t xml:space="preserve"> </w:t>
            </w:r>
            <w:r w:rsidRPr="00A07D2B">
              <w:rPr>
                <w:b/>
                <w:color w:val="FFFFFF" w:themeColor="background1"/>
                <w:spacing w:val="-2"/>
              </w:rPr>
              <w:t>Nominees</w:t>
            </w:r>
          </w:p>
        </w:tc>
        <w:tc>
          <w:tcPr>
            <w:tcW w:w="4253" w:type="dxa"/>
            <w:shd w:val="clear" w:color="auto" w:fill="818181"/>
          </w:tcPr>
          <w:p w14:paraId="61D4ABD9" w14:textId="77777777" w:rsidR="00F43E8F" w:rsidRPr="00A07D2B" w:rsidRDefault="00AB3D94">
            <w:pPr>
              <w:pStyle w:val="TableParagraph"/>
              <w:spacing w:before="2"/>
              <w:rPr>
                <w:b/>
                <w:color w:val="FFFFFF" w:themeColor="background1"/>
              </w:rPr>
            </w:pPr>
            <w:r w:rsidRPr="00A07D2B">
              <w:rPr>
                <w:b/>
                <w:color w:val="FFFFFF" w:themeColor="background1"/>
              </w:rPr>
              <w:t>Employer</w:t>
            </w:r>
            <w:r w:rsidRPr="00A07D2B">
              <w:rPr>
                <w:b/>
                <w:color w:val="FFFFFF" w:themeColor="background1"/>
                <w:spacing w:val="-5"/>
              </w:rPr>
              <w:t xml:space="preserve"> </w:t>
            </w:r>
            <w:r w:rsidRPr="00A07D2B">
              <w:rPr>
                <w:b/>
                <w:color w:val="FFFFFF" w:themeColor="background1"/>
                <w:spacing w:val="-2"/>
              </w:rPr>
              <w:t>Nominees</w:t>
            </w:r>
          </w:p>
        </w:tc>
      </w:tr>
      <w:tr w:rsidR="00F43E8F" w14:paraId="61D4ABDD" w14:textId="77777777" w:rsidTr="00253B48">
        <w:trPr>
          <w:trHeight w:val="374"/>
        </w:trPr>
        <w:tc>
          <w:tcPr>
            <w:tcW w:w="4253" w:type="dxa"/>
          </w:tcPr>
          <w:p w14:paraId="61D4ABDB" w14:textId="77777777" w:rsidR="00F43E8F" w:rsidRDefault="00AB3D94">
            <w:pPr>
              <w:pStyle w:val="TableParagraph"/>
            </w:pPr>
            <w:r>
              <w:t>Jorgen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Gullestrup</w:t>
            </w:r>
          </w:p>
        </w:tc>
        <w:tc>
          <w:tcPr>
            <w:tcW w:w="4253" w:type="dxa"/>
          </w:tcPr>
          <w:p w14:paraId="61D4ABDC" w14:textId="77777777" w:rsidR="00F43E8F" w:rsidRDefault="00AB3D94">
            <w:pPr>
              <w:pStyle w:val="TableParagraph"/>
              <w:ind w:left="108"/>
            </w:pPr>
            <w:r>
              <w:t>John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Crittall</w:t>
            </w:r>
          </w:p>
        </w:tc>
      </w:tr>
      <w:tr w:rsidR="00F43E8F" w14:paraId="61D4ABE0" w14:textId="77777777" w:rsidTr="00253B48">
        <w:trPr>
          <w:trHeight w:val="371"/>
        </w:trPr>
        <w:tc>
          <w:tcPr>
            <w:tcW w:w="4253" w:type="dxa"/>
          </w:tcPr>
          <w:p w14:paraId="61D4ABDE" w14:textId="77777777" w:rsidR="00F43E8F" w:rsidRDefault="00AB3D94">
            <w:pPr>
              <w:pStyle w:val="TableParagraph"/>
            </w:pPr>
            <w:r>
              <w:t>John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Shenfield</w:t>
            </w:r>
          </w:p>
        </w:tc>
        <w:tc>
          <w:tcPr>
            <w:tcW w:w="4253" w:type="dxa"/>
          </w:tcPr>
          <w:p w14:paraId="61D4ABDF" w14:textId="77777777" w:rsidR="00F43E8F" w:rsidRDefault="00AB3D94">
            <w:pPr>
              <w:pStyle w:val="TableParagraph"/>
            </w:pPr>
            <w:r>
              <w:t>Stephen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Nance</w:t>
            </w:r>
          </w:p>
        </w:tc>
      </w:tr>
      <w:tr w:rsidR="00F43E8F" w14:paraId="61D4ABE3" w14:textId="77777777" w:rsidTr="00253B48">
        <w:trPr>
          <w:trHeight w:val="373"/>
        </w:trPr>
        <w:tc>
          <w:tcPr>
            <w:tcW w:w="4253" w:type="dxa"/>
          </w:tcPr>
          <w:p w14:paraId="61D4ABE1" w14:textId="77777777" w:rsidR="00F43E8F" w:rsidRDefault="00AB3D94">
            <w:pPr>
              <w:pStyle w:val="TableParagraph"/>
              <w:spacing w:before="62"/>
            </w:pPr>
            <w:r>
              <w:t>Jason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Stein</w:t>
            </w:r>
          </w:p>
        </w:tc>
        <w:tc>
          <w:tcPr>
            <w:tcW w:w="4253" w:type="dxa"/>
          </w:tcPr>
          <w:p w14:paraId="61D4ABE2" w14:textId="77777777" w:rsidR="00F43E8F" w:rsidRDefault="00AB3D94">
            <w:pPr>
              <w:pStyle w:val="TableParagraph"/>
              <w:spacing w:before="62"/>
            </w:pPr>
            <w:r>
              <w:t>Angela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Liebke</w:t>
            </w:r>
          </w:p>
        </w:tc>
      </w:tr>
      <w:tr w:rsidR="00F43E8F" w14:paraId="61D4ABE6" w14:textId="77777777" w:rsidTr="00253B48">
        <w:trPr>
          <w:trHeight w:val="373"/>
        </w:trPr>
        <w:tc>
          <w:tcPr>
            <w:tcW w:w="4253" w:type="dxa"/>
          </w:tcPr>
          <w:p w14:paraId="61D4ABE4" w14:textId="77777777" w:rsidR="00F43E8F" w:rsidRDefault="00AB3D94">
            <w:pPr>
              <w:pStyle w:val="TableParagraph"/>
            </w:pPr>
            <w:r>
              <w:t>Thomas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Campbell</w:t>
            </w:r>
          </w:p>
        </w:tc>
        <w:tc>
          <w:tcPr>
            <w:tcW w:w="4253" w:type="dxa"/>
          </w:tcPr>
          <w:p w14:paraId="61D4ABE5" w14:textId="77777777" w:rsidR="00F43E8F" w:rsidRDefault="00AB3D94">
            <w:pPr>
              <w:pStyle w:val="TableParagraph"/>
            </w:pPr>
            <w:r>
              <w:t>Shane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Kennelly</w:t>
            </w:r>
          </w:p>
        </w:tc>
      </w:tr>
      <w:tr w:rsidR="00F43E8F" w14:paraId="61D4ABE9" w14:textId="77777777" w:rsidTr="00253B48">
        <w:trPr>
          <w:trHeight w:val="371"/>
        </w:trPr>
        <w:tc>
          <w:tcPr>
            <w:tcW w:w="4253" w:type="dxa"/>
          </w:tcPr>
          <w:p w14:paraId="61D4ABE7" w14:textId="77777777" w:rsidR="00F43E8F" w:rsidRDefault="00AB3D94">
            <w:pPr>
              <w:pStyle w:val="TableParagraph"/>
            </w:pPr>
            <w:r>
              <w:t>Graham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Moloney</w:t>
            </w:r>
          </w:p>
        </w:tc>
        <w:tc>
          <w:tcPr>
            <w:tcW w:w="4253" w:type="dxa"/>
          </w:tcPr>
          <w:p w14:paraId="61D4ABE8" w14:textId="77777777" w:rsidR="00F43E8F" w:rsidRDefault="00AB3D94">
            <w:pPr>
              <w:pStyle w:val="TableParagraph"/>
            </w:pPr>
            <w:r>
              <w:t>Elizabeth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Milner</w:t>
            </w:r>
          </w:p>
        </w:tc>
      </w:tr>
    </w:tbl>
    <w:p w14:paraId="61D4ABEA" w14:textId="67650231" w:rsidR="00F43E8F" w:rsidRDefault="00252A6A" w:rsidP="00E63A55">
      <w:pPr>
        <w:pStyle w:val="ListParagraph"/>
        <w:numPr>
          <w:ilvl w:val="0"/>
          <w:numId w:val="1"/>
        </w:numPr>
        <w:spacing w:before="360"/>
        <w:ind w:left="567" w:right="227" w:hanging="567"/>
      </w:pPr>
      <w:r w:rsidRPr="00252A6A">
        <w:rPr>
          <w:i/>
          <w:iCs/>
          <w:u w:val="single"/>
        </w:rPr>
        <w:t>Attachments</w:t>
      </w:r>
      <w:r>
        <w:t>:</w:t>
      </w:r>
    </w:p>
    <w:p w14:paraId="32873440" w14:textId="09B805E0" w:rsidR="00252A6A" w:rsidRPr="00252A6A" w:rsidRDefault="00252A6A" w:rsidP="00E63A55">
      <w:pPr>
        <w:pStyle w:val="ListParagraph"/>
        <w:numPr>
          <w:ilvl w:val="0"/>
          <w:numId w:val="3"/>
        </w:numPr>
        <w:spacing w:before="120"/>
        <w:ind w:left="1134" w:right="227" w:hanging="567"/>
      </w:pPr>
      <w:r>
        <w:t>Nil.</w:t>
      </w:r>
    </w:p>
    <w:sectPr w:rsidR="00252A6A" w:rsidRPr="00252A6A" w:rsidSect="00DF5042">
      <w:headerReference w:type="default" r:id="rId9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568" w14:textId="77777777" w:rsidR="007903EB" w:rsidRDefault="007903EB" w:rsidP="007A7A37">
      <w:r>
        <w:separator/>
      </w:r>
    </w:p>
  </w:endnote>
  <w:endnote w:type="continuationSeparator" w:id="0">
    <w:p w14:paraId="00C789C8" w14:textId="77777777" w:rsidR="007903EB" w:rsidRDefault="007903EB" w:rsidP="007A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D9D0" w14:textId="77777777" w:rsidR="007903EB" w:rsidRDefault="007903EB" w:rsidP="007A7A37">
      <w:r>
        <w:separator/>
      </w:r>
    </w:p>
  </w:footnote>
  <w:footnote w:type="continuationSeparator" w:id="0">
    <w:p w14:paraId="637F520E" w14:textId="77777777" w:rsidR="007903EB" w:rsidRDefault="007903EB" w:rsidP="007A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59B5" w14:textId="77777777" w:rsidR="007A7A37" w:rsidRPr="00937A4A" w:rsidRDefault="007A7A37" w:rsidP="007A7A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195E6825" w14:textId="77777777" w:rsidR="007A7A37" w:rsidRPr="00937A4A" w:rsidRDefault="007A7A37" w:rsidP="007A7A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5CE22CA" w14:textId="729CD647" w:rsidR="007A7A37" w:rsidRPr="00937A4A" w:rsidRDefault="007A7A37" w:rsidP="007A7A3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A74F89">
      <w:rPr>
        <w:b/>
      </w:rPr>
      <w:t>March 2022</w:t>
    </w:r>
  </w:p>
  <w:p w14:paraId="601986EF" w14:textId="15F54330" w:rsidR="007A7A37" w:rsidRDefault="00A74F89" w:rsidP="007A7A37">
    <w:pPr>
      <w:pStyle w:val="Header"/>
      <w:spacing w:before="120"/>
      <w:rPr>
        <w:b/>
        <w:u w:val="single"/>
      </w:rPr>
    </w:pPr>
    <w:r w:rsidRPr="00A74F89">
      <w:rPr>
        <w:b/>
        <w:u w:val="single"/>
      </w:rPr>
      <w:t>Establishment</w:t>
    </w:r>
    <w:r w:rsidR="00E47A49">
      <w:rPr>
        <w:b/>
        <w:u w:val="single"/>
      </w:rPr>
      <w:t xml:space="preserve"> and </w:t>
    </w:r>
    <w:r w:rsidRPr="00A74F89">
      <w:rPr>
        <w:b/>
        <w:u w:val="single"/>
      </w:rPr>
      <w:t>appointment of the Tripartite Procurement Advisory Panel</w:t>
    </w:r>
  </w:p>
  <w:p w14:paraId="4E5A59B6" w14:textId="2CD7FB45" w:rsidR="007A7A37" w:rsidRDefault="007A7A37" w:rsidP="007A7A37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E47A49">
      <w:rPr>
        <w:b/>
        <w:u w:val="single"/>
      </w:rPr>
      <w:t xml:space="preserve"> for Energy, Renewables and Hydrogen and Minister for Public Works and Procurement</w:t>
    </w:r>
  </w:p>
  <w:p w14:paraId="137C0CBF" w14:textId="77777777" w:rsidR="007A7A37" w:rsidRDefault="007A7A37" w:rsidP="00A07D2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57D88"/>
    <w:multiLevelType w:val="hybridMultilevel"/>
    <w:tmpl w:val="2FCAB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C61867"/>
    <w:multiLevelType w:val="hybridMultilevel"/>
    <w:tmpl w:val="17069732"/>
    <w:lvl w:ilvl="0" w:tplc="C0C83656">
      <w:start w:val="1"/>
      <w:numFmt w:val="decimal"/>
      <w:lvlText w:val="%1."/>
      <w:lvlJc w:val="left"/>
      <w:pPr>
        <w:ind w:left="713" w:hanging="481"/>
      </w:pPr>
      <w:rPr>
        <w:rFonts w:hint="default"/>
        <w:spacing w:val="-3"/>
        <w:w w:val="100"/>
        <w:sz w:val="22"/>
        <w:szCs w:val="22"/>
        <w:lang w:val="en-AU" w:eastAsia="en-US" w:bidi="ar-SA"/>
      </w:rPr>
    </w:lvl>
    <w:lvl w:ilvl="1" w:tplc="E766B746">
      <w:numFmt w:val="bullet"/>
      <w:lvlText w:val="•"/>
      <w:lvlJc w:val="left"/>
      <w:pPr>
        <w:ind w:left="1700" w:hanging="481"/>
      </w:pPr>
      <w:rPr>
        <w:rFonts w:hint="default"/>
        <w:lang w:val="en-AU" w:eastAsia="en-US" w:bidi="ar-SA"/>
      </w:rPr>
    </w:lvl>
    <w:lvl w:ilvl="2" w:tplc="92622E64">
      <w:numFmt w:val="bullet"/>
      <w:lvlText w:val="•"/>
      <w:lvlJc w:val="left"/>
      <w:pPr>
        <w:ind w:left="2681" w:hanging="481"/>
      </w:pPr>
      <w:rPr>
        <w:rFonts w:hint="default"/>
        <w:lang w:val="en-AU" w:eastAsia="en-US" w:bidi="ar-SA"/>
      </w:rPr>
    </w:lvl>
    <w:lvl w:ilvl="3" w:tplc="0F4AD16A">
      <w:numFmt w:val="bullet"/>
      <w:lvlText w:val="•"/>
      <w:lvlJc w:val="left"/>
      <w:pPr>
        <w:ind w:left="3661" w:hanging="481"/>
      </w:pPr>
      <w:rPr>
        <w:rFonts w:hint="default"/>
        <w:lang w:val="en-AU" w:eastAsia="en-US" w:bidi="ar-SA"/>
      </w:rPr>
    </w:lvl>
    <w:lvl w:ilvl="4" w:tplc="5B88D540">
      <w:numFmt w:val="bullet"/>
      <w:lvlText w:val="•"/>
      <w:lvlJc w:val="left"/>
      <w:pPr>
        <w:ind w:left="4642" w:hanging="481"/>
      </w:pPr>
      <w:rPr>
        <w:rFonts w:hint="default"/>
        <w:lang w:val="en-AU" w:eastAsia="en-US" w:bidi="ar-SA"/>
      </w:rPr>
    </w:lvl>
    <w:lvl w:ilvl="5" w:tplc="B992AA32">
      <w:numFmt w:val="bullet"/>
      <w:lvlText w:val="•"/>
      <w:lvlJc w:val="left"/>
      <w:pPr>
        <w:ind w:left="5623" w:hanging="481"/>
      </w:pPr>
      <w:rPr>
        <w:rFonts w:hint="default"/>
        <w:lang w:val="en-AU" w:eastAsia="en-US" w:bidi="ar-SA"/>
      </w:rPr>
    </w:lvl>
    <w:lvl w:ilvl="6" w:tplc="B09A93A4">
      <w:numFmt w:val="bullet"/>
      <w:lvlText w:val="•"/>
      <w:lvlJc w:val="left"/>
      <w:pPr>
        <w:ind w:left="6603" w:hanging="481"/>
      </w:pPr>
      <w:rPr>
        <w:rFonts w:hint="default"/>
        <w:lang w:val="en-AU" w:eastAsia="en-US" w:bidi="ar-SA"/>
      </w:rPr>
    </w:lvl>
    <w:lvl w:ilvl="7" w:tplc="71240DB6">
      <w:numFmt w:val="bullet"/>
      <w:lvlText w:val="•"/>
      <w:lvlJc w:val="left"/>
      <w:pPr>
        <w:ind w:left="7584" w:hanging="481"/>
      </w:pPr>
      <w:rPr>
        <w:rFonts w:hint="default"/>
        <w:lang w:val="en-AU" w:eastAsia="en-US" w:bidi="ar-SA"/>
      </w:rPr>
    </w:lvl>
    <w:lvl w:ilvl="8" w:tplc="4012722C">
      <w:numFmt w:val="bullet"/>
      <w:lvlText w:val="•"/>
      <w:lvlJc w:val="left"/>
      <w:pPr>
        <w:ind w:left="8565" w:hanging="481"/>
      </w:pPr>
      <w:rPr>
        <w:rFonts w:hint="default"/>
        <w:lang w:val="en-AU" w:eastAsia="en-US" w:bidi="ar-SA"/>
      </w:rPr>
    </w:lvl>
  </w:abstractNum>
  <w:abstractNum w:abstractNumId="2" w15:restartNumberingAfterBreak="0">
    <w:nsid w:val="613626DA"/>
    <w:multiLevelType w:val="hybridMultilevel"/>
    <w:tmpl w:val="5DAE3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7845364">
    <w:abstractNumId w:val="1"/>
  </w:num>
  <w:num w:numId="2" w16cid:durableId="1319461038">
    <w:abstractNumId w:val="2"/>
  </w:num>
  <w:num w:numId="3" w16cid:durableId="61926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8F"/>
    <w:rsid w:val="000107F7"/>
    <w:rsid w:val="000B295D"/>
    <w:rsid w:val="000B2CB4"/>
    <w:rsid w:val="000E43B6"/>
    <w:rsid w:val="0013008A"/>
    <w:rsid w:val="00165924"/>
    <w:rsid w:val="001E64B0"/>
    <w:rsid w:val="00252A6A"/>
    <w:rsid w:val="00253B48"/>
    <w:rsid w:val="0047256D"/>
    <w:rsid w:val="005F54A1"/>
    <w:rsid w:val="007775CA"/>
    <w:rsid w:val="007903EB"/>
    <w:rsid w:val="007A7A37"/>
    <w:rsid w:val="007E097E"/>
    <w:rsid w:val="008747A4"/>
    <w:rsid w:val="008916B5"/>
    <w:rsid w:val="008B322E"/>
    <w:rsid w:val="008E1EB1"/>
    <w:rsid w:val="009373CC"/>
    <w:rsid w:val="00980382"/>
    <w:rsid w:val="009C6FBC"/>
    <w:rsid w:val="00A01F5B"/>
    <w:rsid w:val="00A07D2B"/>
    <w:rsid w:val="00A324DF"/>
    <w:rsid w:val="00A36717"/>
    <w:rsid w:val="00A54F64"/>
    <w:rsid w:val="00A74F89"/>
    <w:rsid w:val="00AA10F1"/>
    <w:rsid w:val="00AB3D94"/>
    <w:rsid w:val="00B1458B"/>
    <w:rsid w:val="00B20886"/>
    <w:rsid w:val="00B93459"/>
    <w:rsid w:val="00BB617D"/>
    <w:rsid w:val="00BF7BDB"/>
    <w:rsid w:val="00D04A80"/>
    <w:rsid w:val="00DF5042"/>
    <w:rsid w:val="00E47A49"/>
    <w:rsid w:val="00E63A55"/>
    <w:rsid w:val="00E765C1"/>
    <w:rsid w:val="00F43E8F"/>
    <w:rsid w:val="00FB1173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A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4"/>
      <w:ind w:left="233" w:hanging="48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98" w:right="19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713" w:hanging="4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32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4D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4DF"/>
    <w:rPr>
      <w:rFonts w:ascii="Arial" w:eastAsia="Arial" w:hAnsi="Arial" w:cs="Arial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A7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37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A7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37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C255B-91F1-4536-B022-91E3CA29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02824-7125-47A4-8CEB-6CFE4DFEC4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1597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Base>https://www.cabinet.qld.gov.au/documents/2022/Mar/ApptTriPAP/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2022-05-20T02:46:00Z</cp:lastPrinted>
  <dcterms:created xsi:type="dcterms:W3CDTF">2022-05-19T00:19:00Z</dcterms:created>
  <dcterms:modified xsi:type="dcterms:W3CDTF">2022-09-16T00:17:00Z</dcterms:modified>
  <cp:category>Procurement,Significant_Appointments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2022-03-30T00:00:00Z</vt:filetime>
  </property>
  <property fmtid="{D5CDD505-2E9C-101B-9397-08002B2CF9AE}" pid="5" name="MSIP_Label_282828d4-d65e-4c38-b4f3-1feba3142871_Enabled">
    <vt:lpwstr>true</vt:lpwstr>
  </property>
  <property fmtid="{D5CDD505-2E9C-101B-9397-08002B2CF9AE}" pid="6" name="MSIP_Label_282828d4-d65e-4c38-b4f3-1feba3142871_SetDate">
    <vt:lpwstr>2022-09-16T00:17:55Z</vt:lpwstr>
  </property>
  <property fmtid="{D5CDD505-2E9C-101B-9397-08002B2CF9AE}" pid="7" name="MSIP_Label_282828d4-d65e-4c38-b4f3-1feba3142871_Method">
    <vt:lpwstr>Standard</vt:lpwstr>
  </property>
  <property fmtid="{D5CDD505-2E9C-101B-9397-08002B2CF9AE}" pid="8" name="MSIP_Label_282828d4-d65e-4c38-b4f3-1feba3142871_Name">
    <vt:lpwstr>OFFICIAL</vt:lpwstr>
  </property>
  <property fmtid="{D5CDD505-2E9C-101B-9397-08002B2CF9AE}" pid="9" name="MSIP_Label_282828d4-d65e-4c38-b4f3-1feba3142871_SiteId">
    <vt:lpwstr>51778d2a-a6ab-4c76-97dc-782782d65046</vt:lpwstr>
  </property>
  <property fmtid="{D5CDD505-2E9C-101B-9397-08002B2CF9AE}" pid="10" name="MSIP_Label_282828d4-d65e-4c38-b4f3-1feba3142871_ActionId">
    <vt:lpwstr>a168ee67-5c93-49de-a072-26a395e33056</vt:lpwstr>
  </property>
  <property fmtid="{D5CDD505-2E9C-101B-9397-08002B2CF9AE}" pid="11" name="MSIP_Label_282828d4-d65e-4c38-b4f3-1feba3142871_ContentBits">
    <vt:lpwstr>0</vt:lpwstr>
  </property>
</Properties>
</file>